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177 vom 28. April 1972</w:t>
      </w:r>
    </w:p>
    <w:p>
      <w:r>
        <w:t>Bundesgericht (BGE), 1972-04-28, DE</w:t>
      </w:r>
    </w:p>
    <w:p>
      <w:r>
        <w:rPr>
          <w:b/>
        </w:rPr>
        <w:t xml:space="preserve">Quelle: </w:t>
      </w:r>
      <w:r>
        <w:t>https://mcp.opencaselaw.ch/entscheid/bge_98 IB 177</w:t>
      </w:r>
    </w:p>
    <w:p>
      <w:r>
        <w:t>FR: BGE 98 IB 177 du 28 avril 1972</w:t>
      </w:r>
    </w:p>
    <w:p>
      <w:r>
        <w:t>IT: BGE 98 IB 177 del 28 aprile 1972</w:t>
      </w:r>
    </w:p>
    <w:p>
      <w:pPr>
        <w:pStyle w:val="Heading2"/>
      </w:pPr>
      <w:r>
        <w:t>Regeste</w:t>
      </w:r>
    </w:p>
    <w:p>
      <w:r>
        <w:t>Regeste Fremdenpolizeirecht; Ausweisung (Art. 10 Abs. 1 lit. a und b ANAG). Der Vollzug der Ausweisung kann nicht - aufgrund berechtigter Hoffnungen hinsichtlich der Besserung des Betroffenen und um diesem Gelegenheit zur Bewährung einzuräumen - auf unbestimmte Zeit aufgeschoben werden.</w:t>
      </w:r>
    </w:p>
    <w:p>
      <w:pPr>
        <w:pStyle w:val="Heading2"/>
      </w:pPr>
      <w:r>
        <w:t>Erwägungen</w:t>
      </w:r>
    </w:p>
    <w:p>
      <w:r>
        <w:rPr>
          <w:b/>
        </w:rPr>
        <w:t>E. 1</w:t>
      </w:r>
    </w:p>
    <w:p>
      <w:r>
        <w:t>(Zulässigkeit der Verwaltungsgerichtsbeschwerde und Kognitionsbefugnis des Bundesgerichtes).</w:t>
      </w:r>
    </w:p>
    <w:p>
      <w:r>
        <w:rPr>
          <w:b/>
        </w:rPr>
        <w:t>E. 2</w:t>
      </w:r>
    </w:p>
    <w:p>
      <w:r>
        <w:t>(Feststellung, dass die Voraussetzungen für die Ausweisung erfüllt sind (a) und Erwägung der Umstände, welche bei der Ermessensfrage, ob die Beschwerdeführerin ausgewiesen werden soll, zu berücksichtigen sind (b).) c) Bei der Würdigung der vorgenannten Umstände ist die Vorinstanz zum Schluss gekommen, das Interesse der Schweiz, von der Beschwerdeführerin als unerwünschter Ausländerin befreit zu werden, sei entscheidend. Diese Schlussfolgerung wäre grundsätzlich nicht zu beanstanden, hätte sich die Sachlage nicht nach dem Ausweisungsbeschluss des Regierungsrates geändert. Die Beschwerdeführerin hat sich nämlich am 3. September 1971 mit dem im Kanton Zürich aufenthaltsberechtigten Österreicher N. verheiratet. Der freien Gestaltung, die im allgemeinen das Verwaltungsgerichtsverfahren kennzeichnet und bei der der Richter vor allen Dingen einen sachlich richtigen Entscheid treffen sowie den Streitfall endgültig aus der Welt schaffen soll ( BGE 56 I 370 mit Hinweisen), entspricht es, dass selbst nach der angefochtenen Verfügung eingetretene Tatsachen im vorliegenden Verfahren berücksichtigt werden ( BGE 89 I 337 ; BGE 92 I 327 ; Urteile vom 17. September 1971 i.S. P.T., Erw. 4 am Schluss; vom 26. November 1971 i.S. B. &amp; Co., Erw. III/1; vom 22. Dezember 1971 i.S. P.F., Erw. 1c). Der Regierungsrat hat in seiner Vernehmlassung zu dieser neuen Tatsache Stellung genommen. Er verkennt darin nicht, dass die Verheiratung der Beschwerdeführerin zu "gewissen Hoffnungen hinsichtlich ihres künftigen Lebenswandels berechtigt". Eine Gutheissung der Beschwerde im Sinne einer Umwandlung der Ausweisung in eine blosse Androhung dieser Massnahme oder gar einer Aufhebung der Ausweisung könne allerdings nicht befürwortet werden. Der Regierungsrat erklärt sich jedoch bereit, "den Vollzug der Ausweisung auf unbestimmte BGE 98 Ib 177 S. 179 Zeit aufzuschieben. Damit erhielte die Beschwerdeführerin einerseits Gelegenheit, sich zu bewähren; anderseits stünde sie bis auf weiteres unter der dauernden unmittelbaren Drohung der sofortigen Ausweisung im Falle der Wiederaufnahme ihrer alten Lebensweise." Diesem vom Regierungsrat aufgezeigten Vorgehen ist nicht beizupflichten. Es geht nach Massgabe der Verfahrensordnung des ANAG nicht an, die Ausweisung zu verfügen, deren Vollzug jedoch - aufgrund berechtigter Hoffnungen hinsichtlich der Besserung der Betroffenen und um dieser Gelegenheit zur Bewährung einzuräumen - auf unbestimmte Zeit aufzuschieben. Für solche Fälle steht die fremdenpolizeiliche Massnahme der Androhung der Ausweisung zur Verfügung. Der Aufschub des Vollzuges auf unbestimmte Zeit ist im übrigen deshalb ausgeschlossen, weil er zu einer willkürlichen Behandlung führen könnte; die Fremdenpolizei hätte es in der Hand, die Beschwerdeführerin jederzeit ohne Durchführung des gesetzlich vorgesehenen Verfahrens auszuweisen, wenn diese ihre "alte Lebensweise" wieder aufnimmt. d) Der Entscheid, ob aufgrund der neuen Umstände die Ausweisung aufrechterhalten, d.h. die Beschwerdeführerin ausgewiesen werden, oder ob der Beschwerdeführerin die Ausweisung bloss angedroht werden soll, ist weitgehend Ermessensfrage. Der Regierungsrat hat daher in einem neuen Beschluss darüber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